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81" w:rsidRDefault="000D25C0">
      <w:pPr>
        <w:spacing w:after="328" w:line="234" w:lineRule="exact"/>
        <w:textAlignment w:val="baseline"/>
        <w:rPr>
          <w:rFonts w:eastAsia="Times New Roman"/>
          <w:b/>
          <w:color w:val="000000"/>
          <w:spacing w:val="-7"/>
          <w:sz w:val="20"/>
        </w:rPr>
      </w:pPr>
      <w:r>
        <w:rPr>
          <w:rFonts w:eastAsia="Times New Roman"/>
          <w:b/>
          <w:color w:val="000000"/>
          <w:spacing w:val="-7"/>
          <w:sz w:val="20"/>
        </w:rPr>
        <w:t xml:space="preserve">VĮ </w:t>
      </w:r>
      <w:proofErr w:type="spellStart"/>
      <w:r>
        <w:rPr>
          <w:rFonts w:eastAsia="Times New Roman"/>
          <w:b/>
          <w:color w:val="000000"/>
          <w:spacing w:val="-7"/>
          <w:sz w:val="20"/>
        </w:rPr>
        <w:t>Regitra</w:t>
      </w:r>
      <w:proofErr w:type="spellEnd"/>
    </w:p>
    <w:p w:rsidR="00821B81" w:rsidRDefault="00821B81">
      <w:pPr>
        <w:spacing w:after="328" w:line="234" w:lineRule="exact"/>
        <w:sectPr w:rsidR="00821B81">
          <w:pgSz w:w="16843" w:h="11904" w:orient="landscape"/>
          <w:pgMar w:top="460" w:right="941" w:bottom="208" w:left="14962" w:header="720" w:footer="720" w:gutter="0"/>
          <w:cols w:space="1296"/>
        </w:sectPr>
      </w:pPr>
    </w:p>
    <w:p w:rsidR="00821B81" w:rsidRDefault="000D25C0">
      <w:pPr>
        <w:spacing w:after="61" w:line="401" w:lineRule="exact"/>
        <w:ind w:left="6336" w:right="1800" w:hanging="4608"/>
        <w:textAlignment w:val="baseline"/>
        <w:rPr>
          <w:rFonts w:eastAsia="Times New Roman"/>
          <w:b/>
          <w:color w:val="000000"/>
          <w:sz w:val="28"/>
        </w:rPr>
      </w:pPr>
      <w:proofErr w:type="spellStart"/>
      <w:r>
        <w:rPr>
          <w:rFonts w:eastAsia="Times New Roman"/>
          <w:b/>
          <w:color w:val="000000"/>
          <w:sz w:val="28"/>
        </w:rPr>
        <w:t>Sprendimų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neatlikti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pirkimo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naudojantis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centrinės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perkančiosios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organizacijos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paslaugomis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suvestinė</w:t>
      </w:r>
      <w:proofErr w:type="spellEnd"/>
      <w:r>
        <w:rPr>
          <w:rFonts w:eastAsia="Times New Roman"/>
          <w:b/>
          <w:color w:val="000000"/>
          <w:sz w:val="28"/>
        </w:rPr>
        <w:t xml:space="preserve"> 2021 m. </w:t>
      </w:r>
      <w:proofErr w:type="spellStart"/>
      <w:r>
        <w:rPr>
          <w:rFonts w:eastAsia="Times New Roman"/>
          <w:b/>
          <w:color w:val="000000"/>
          <w:sz w:val="28"/>
        </w:rPr>
        <w:t>liepos</w:t>
      </w:r>
      <w:proofErr w:type="spellEnd"/>
      <w:r>
        <w:rPr>
          <w:rFonts w:eastAsia="Times New Roman"/>
          <w:b/>
          <w:color w:val="000000"/>
          <w:sz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</w:rPr>
        <w:t>mėn</w:t>
      </w:r>
      <w:proofErr w:type="spellEnd"/>
      <w:r>
        <w:rPr>
          <w:rFonts w:eastAsia="Times New Roman"/>
          <w:b/>
          <w:color w:val="000000"/>
          <w:sz w:val="28"/>
        </w:rPr>
        <w:t>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282"/>
        <w:gridCol w:w="2160"/>
        <w:gridCol w:w="1920"/>
        <w:gridCol w:w="6408"/>
      </w:tblGrid>
      <w:tr w:rsidR="00821B81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21B81" w:rsidRDefault="000D25C0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Nr.</w:t>
            </w:r>
          </w:p>
        </w:tc>
        <w:tc>
          <w:tcPr>
            <w:tcW w:w="4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21B81" w:rsidRDefault="000D25C0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21B81" w:rsidRDefault="000D25C0">
            <w:pPr>
              <w:spacing w:line="252" w:lineRule="exact"/>
              <w:ind w:left="432" w:hanging="360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Pirkimo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paskelbimo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color w:val="000000"/>
              </w:rPr>
              <w:t>kvietimo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data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21B81" w:rsidRDefault="000D25C0">
            <w:pPr>
              <w:spacing w:line="252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Inicijuota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suma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su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PVM (Eur)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21B81" w:rsidRDefault="000D25C0">
            <w:pPr>
              <w:spacing w:before="158" w:after="10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Pagrindimas</w:t>
            </w:r>
            <w:proofErr w:type="spellEnd"/>
          </w:p>
        </w:tc>
      </w:tr>
    </w:tbl>
    <w:p w:rsidR="00821B81" w:rsidRDefault="00821B81">
      <w:pPr>
        <w:spacing w:after="24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128"/>
        <w:gridCol w:w="2126"/>
        <w:gridCol w:w="1709"/>
        <w:gridCol w:w="6644"/>
      </w:tblGrid>
      <w:tr w:rsidR="00821B8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  <w:r>
              <w:rPr>
                <w:rFonts w:eastAsia="Times New Roman"/>
                <w:color w:val="000000"/>
                <w:sz w:val="24"/>
                <w:lang w:val="lt-LT"/>
              </w:rPr>
              <w:t xml:space="preserve"> </w:t>
            </w:r>
          </w:p>
          <w:p w:rsidR="00CF33D6" w:rsidRDefault="00CF33D6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</w:p>
          <w:p w:rsidR="00CF33D6" w:rsidRDefault="00CF33D6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</w:p>
        </w:tc>
        <w:tc>
          <w:tcPr>
            <w:tcW w:w="412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  <w:r>
              <w:rPr>
                <w:rFonts w:eastAsia="Times New Roman"/>
                <w:color w:val="000000"/>
                <w:sz w:val="24"/>
                <w:lang w:val="lt-LT"/>
              </w:rPr>
              <w:t xml:space="preserve"> </w:t>
            </w:r>
          </w:p>
        </w:tc>
        <w:tc>
          <w:tcPr>
            <w:tcW w:w="21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  <w:r>
              <w:rPr>
                <w:rFonts w:eastAsia="Times New Roman"/>
                <w:color w:val="000000"/>
                <w:sz w:val="24"/>
                <w:lang w:val="lt-LT"/>
              </w:rPr>
              <w:t xml:space="preserve"> </w:t>
            </w:r>
          </w:p>
        </w:tc>
        <w:tc>
          <w:tcPr>
            <w:tcW w:w="17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textAlignment w:val="baseline"/>
              <w:rPr>
                <w:rFonts w:eastAsia="Times New Roman"/>
                <w:color w:val="000000"/>
                <w:sz w:val="24"/>
                <w:lang w:val="lt-LT"/>
              </w:rPr>
            </w:pPr>
            <w:r>
              <w:rPr>
                <w:rFonts w:eastAsia="Times New Roman"/>
                <w:color w:val="000000"/>
                <w:sz w:val="24"/>
                <w:lang w:val="lt-LT"/>
              </w:rPr>
              <w:t xml:space="preserve"> </w:t>
            </w:r>
          </w:p>
        </w:tc>
        <w:tc>
          <w:tcPr>
            <w:tcW w:w="66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821B81" w:rsidRDefault="000D25C0">
            <w:pPr>
              <w:spacing w:before="219" w:line="213" w:lineRule="exact"/>
              <w:ind w:right="2196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Kitos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objektyvios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aplinkybės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.</w:t>
            </w:r>
          </w:p>
          <w:p w:rsidR="00821B81" w:rsidRDefault="000D25C0">
            <w:pPr>
              <w:spacing w:before="27" w:line="203" w:lineRule="exact"/>
              <w:ind w:right="216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Vadovaujantis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VPĮ 25 str. 2 d.,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mažos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vertės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pirkimui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netaikomas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VPĮ 82 str. 2 d.</w:t>
            </w:r>
          </w:p>
        </w:tc>
      </w:tr>
      <w:tr w:rsidR="00821B81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spacing w:after="899" w:line="235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5631-1</w:t>
            </w:r>
          </w:p>
        </w:tc>
        <w:tc>
          <w:tcPr>
            <w:tcW w:w="412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spacing w:after="899" w:line="235" w:lineRule="exact"/>
              <w:ind w:right="112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Asfalto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dangos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remontas</w:t>
            </w:r>
            <w:proofErr w:type="spellEnd"/>
          </w:p>
        </w:tc>
        <w:tc>
          <w:tcPr>
            <w:tcW w:w="21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spacing w:after="899" w:line="235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2021-07-13</w:t>
            </w:r>
          </w:p>
        </w:tc>
        <w:tc>
          <w:tcPr>
            <w:tcW w:w="17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spacing w:after="899" w:line="235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2 314,97</w:t>
            </w:r>
          </w:p>
        </w:tc>
        <w:tc>
          <w:tcPr>
            <w:tcW w:w="66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21B81" w:rsidRDefault="000D25C0">
            <w:pPr>
              <w:spacing w:after="662" w:line="240" w:lineRule="exact"/>
              <w:ind w:left="180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nuostatos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Pirkimo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kurio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planujama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vertė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yra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iki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10000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eurų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be PVM,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neprivaloma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vykyti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per CPO.</w:t>
            </w:r>
          </w:p>
          <w:p w:rsidR="00CF33D6" w:rsidRDefault="00CF33D6">
            <w:pPr>
              <w:spacing w:after="662" w:line="240" w:lineRule="exact"/>
              <w:ind w:left="180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</w:p>
          <w:p w:rsidR="00CF33D6" w:rsidRDefault="00CF33D6">
            <w:pPr>
              <w:spacing w:after="662" w:line="240" w:lineRule="exact"/>
              <w:ind w:left="180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</w:p>
          <w:p w:rsidR="00CF33D6" w:rsidRDefault="00CF33D6">
            <w:pPr>
              <w:spacing w:after="662" w:line="240" w:lineRule="exact"/>
              <w:ind w:left="180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821B81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821B81" w:rsidRDefault="000D25C0">
            <w:pPr>
              <w:spacing w:before="939" w:after="30" w:line="235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5787</w:t>
            </w:r>
          </w:p>
        </w:tc>
        <w:tc>
          <w:tcPr>
            <w:tcW w:w="412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821B81" w:rsidRDefault="000D25C0">
            <w:pPr>
              <w:spacing w:before="939" w:after="30" w:line="235" w:lineRule="exact"/>
              <w:ind w:right="580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Numeratoriai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antspaudai-numeratoriai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21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821B81" w:rsidRDefault="000D25C0">
            <w:pPr>
              <w:spacing w:before="939" w:after="30" w:line="235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2021-07-20</w:t>
            </w:r>
          </w:p>
        </w:tc>
        <w:tc>
          <w:tcPr>
            <w:tcW w:w="17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821B81" w:rsidRDefault="000D25C0">
            <w:pPr>
              <w:spacing w:before="939" w:after="30" w:line="235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121,00</w:t>
            </w:r>
          </w:p>
        </w:tc>
        <w:tc>
          <w:tcPr>
            <w:tcW w:w="66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821B81" w:rsidRDefault="000D25C0">
            <w:pPr>
              <w:spacing w:before="958" w:after="33" w:line="213" w:lineRule="exact"/>
              <w:ind w:right="666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Vadovaujantis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VPĮ 25 str. 2 d.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nėra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prievolės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 w:rsidR="00CF33D6">
              <w:rPr>
                <w:rFonts w:eastAsia="Times New Roman"/>
                <w:color w:val="000000"/>
                <w:sz w:val="18"/>
              </w:rPr>
              <w:t>pirkimų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atlikti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per CPO.</w:t>
            </w:r>
          </w:p>
        </w:tc>
      </w:tr>
      <w:tr w:rsidR="00CF33D6" w:rsidTr="0050153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5438</w:t>
            </w:r>
          </w:p>
        </w:tc>
        <w:tc>
          <w:tcPr>
            <w:tcW w:w="14607" w:type="dxa"/>
            <w:gridSpan w:val="4"/>
            <w:vMerge w:val="restart"/>
            <w:tcBorders>
              <w:top w:val="none" w:sz="0" w:space="0" w:color="020000"/>
              <w:left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58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Pa</w:t>
            </w:r>
            <w:proofErr w:type="spellStart"/>
            <w:r>
              <w:rPr>
                <w:rFonts w:eastAsia="Times New Roman"/>
                <w:color w:val="000000"/>
                <w:sz w:val="20"/>
                <w:lang w:val="lt-LT"/>
              </w:rPr>
              <w:t>što</w:t>
            </w:r>
            <w:proofErr w:type="spellEnd"/>
            <w:r>
              <w:rPr>
                <w:rFonts w:eastAsia="Times New Roman"/>
                <w:color w:val="000000"/>
                <w:sz w:val="20"/>
                <w:lang w:val="lt-LT"/>
              </w:rPr>
              <w:t xml:space="preserve"> pasiuntinių paslaugos                                              </w:t>
            </w:r>
            <w:r>
              <w:rPr>
                <w:rFonts w:eastAsia="Times New Roman"/>
                <w:color w:val="000000"/>
                <w:sz w:val="20"/>
              </w:rPr>
              <w:t xml:space="preserve">623 150,00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</w:rPr>
              <w:t xml:space="preserve">                    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</w:t>
            </w:r>
            <w:r w:rsidRPr="00CF33D6">
              <w:rPr>
                <w:rFonts w:eastAsia="Times New Roman"/>
                <w:color w:val="000000"/>
                <w:sz w:val="20"/>
              </w:rPr>
              <w:t>iūloma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skubių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pristatymo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pasiuntinių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paštu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Lietuvos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Respublikos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teritorijoje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paslauga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per 1-2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dienas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netenkina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nes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Motorinių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transporto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priemonių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vairuotojo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pažymėjimų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išdavimo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taisyklėmis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patvirtintomis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Lietuvos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Respublikos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vidaus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reikalų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ministro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2008 m.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rugsėjo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10 d.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įsakymu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Nr. 1V-328,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esame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įsipareigoję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klientų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pageidavimu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vairuotojų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pažymėjimus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išduoti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per 1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dieną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to,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perkame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ir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pristatymo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paslaugą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per 1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dieną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Taip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pat, per CPO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perkamoje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kurjerių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paslaugoje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užsakymai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ir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duomenys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apie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siunčiamas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siuntas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pateikiami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atlikus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su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pateikimu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susijusius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veiksmus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Tiekėjo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savitarnoje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didelio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siunčiamų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kiekio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negalime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pateikti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atskirų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užsakymų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kiekvienos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siunčiamos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per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Teikėjo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savitarnos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portalą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Duomenis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apie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siuntas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Paslaugų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teikėjui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pateikiame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per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informacinių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sistemų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integraciją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naudojant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žiniatinklio</w:t>
            </w:r>
            <w:proofErr w:type="spellEnd"/>
            <w:r w:rsidRPr="00CF33D6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20"/>
              </w:rPr>
              <w:t>paslaugas</w:t>
            </w:r>
            <w:proofErr w:type="spellEnd"/>
          </w:p>
          <w:p w:rsid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  <w:r w:rsidRPr="00CF33D6">
              <w:rPr>
                <w:rFonts w:eastAsia="Times New Roman"/>
                <w:color w:val="000000"/>
                <w:sz w:val="18"/>
              </w:rPr>
              <w:t xml:space="preserve">CPO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yra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</w:p>
          <w:p w:rsid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  <w:p w:rsid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  <w:p w:rsid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pasiuntinių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paštu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Lietuvos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Respublikos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teritorijoje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paslauga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per 1-2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dienas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netenkina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nes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Motorinių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transporto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priemonių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vairuotojo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pažymėjimų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išdavimo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taisyklėmis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patvirtintomis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Lietuvos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Respublikos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vidaus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reikalų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ministro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2008 m.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rugsėjo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10 d.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įsakymu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Nr. 1V-328,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esame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įsipareigoję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klientų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pageidavimu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vairuotojų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pažymėjimus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išduoti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per 1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dieną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to,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perkame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ir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pristatymo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paslaugą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per 1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darbo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dieną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Taip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pat, per CPO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perkamoje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kurjerių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paslaugoje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užsakymai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ir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duomenys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apie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siunčiamas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siuntas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pateikiami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atlikus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su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pateikimu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susijusius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veiksmus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Tiekėjo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savitarnoje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didelio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siunčiamų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kiekio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negalime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pateikti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atskirų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užsakymų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dėl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kiekvienos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siunčiamos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per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Teikėjo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savitarnos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portalą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.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Duomenis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apie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siuntas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Paslaugų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teikėjui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pateikiame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per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informacinių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sistemų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integraciją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naudojant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žiniatinklio</w:t>
            </w:r>
            <w:proofErr w:type="spellEnd"/>
            <w:r w:rsidRPr="00CF33D6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F33D6">
              <w:rPr>
                <w:rFonts w:eastAsia="Times New Roman"/>
                <w:color w:val="000000"/>
                <w:sz w:val="18"/>
              </w:rPr>
              <w:t>paslaugas</w:t>
            </w:r>
            <w:proofErr w:type="spellEnd"/>
          </w:p>
        </w:tc>
      </w:tr>
      <w:tr w:rsidR="00CF33D6" w:rsidTr="0050153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07" w:type="dxa"/>
            <w:gridSpan w:val="4"/>
            <w:vMerge/>
            <w:tcBorders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P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CF33D6" w:rsidTr="00CF33D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07" w:type="dxa"/>
            <w:gridSpan w:val="4"/>
            <w:tcBorders>
              <w:left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P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CF33D6" w:rsidTr="00CF33D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07" w:type="dxa"/>
            <w:gridSpan w:val="4"/>
            <w:tcBorders>
              <w:left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P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CF33D6" w:rsidTr="00CF33D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07" w:type="dxa"/>
            <w:gridSpan w:val="4"/>
            <w:tcBorders>
              <w:left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P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CF33D6" w:rsidTr="0050153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Default="00CF33D6" w:rsidP="00CF33D6">
            <w:pPr>
              <w:spacing w:before="939" w:after="30" w:line="235" w:lineRule="exact"/>
              <w:ind w:right="360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07" w:type="dxa"/>
            <w:gridSpan w:val="4"/>
            <w:tcBorders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BEFF2" w:fill="EBEFF2"/>
            <w:vAlign w:val="bottom"/>
          </w:tcPr>
          <w:p w:rsidR="00CF33D6" w:rsidRPr="00CF33D6" w:rsidRDefault="00CF33D6" w:rsidP="00CF33D6">
            <w:pPr>
              <w:spacing w:before="958" w:after="33" w:line="213" w:lineRule="exact"/>
              <w:ind w:left="-970" w:right="666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</w:tbl>
    <w:p w:rsidR="00821B81" w:rsidRDefault="00821B81">
      <w:pPr>
        <w:spacing w:after="5289" w:line="20" w:lineRule="exact"/>
      </w:pPr>
    </w:p>
    <w:p w:rsidR="00821B81" w:rsidRDefault="00821B81">
      <w:pPr>
        <w:spacing w:after="5289" w:line="20" w:lineRule="exact"/>
      </w:pPr>
    </w:p>
    <w:p w:rsidR="00CF33D6" w:rsidRDefault="00CF33D6">
      <w:pPr>
        <w:spacing w:after="5289" w:line="20" w:lineRule="exact"/>
      </w:pPr>
    </w:p>
    <w:p w:rsidR="00CF33D6" w:rsidRDefault="00CF33D6">
      <w:pPr>
        <w:spacing w:after="5289" w:line="20" w:lineRule="exact"/>
        <w:sectPr w:rsidR="00CF33D6">
          <w:type w:val="continuous"/>
          <w:pgSz w:w="16843" w:h="11904" w:orient="landscape"/>
          <w:pgMar w:top="460" w:right="806" w:bottom="208" w:left="341" w:header="720" w:footer="720" w:gutter="0"/>
          <w:cols w:space="1296"/>
        </w:sectPr>
      </w:pPr>
    </w:p>
    <w:p w:rsidR="00821B81" w:rsidRDefault="000D25C0">
      <w:pPr>
        <w:spacing w:line="225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1</w:t>
      </w:r>
    </w:p>
    <w:sectPr w:rsidR="00821B81">
      <w:type w:val="continuous"/>
      <w:pgSz w:w="16843" w:h="11904" w:orient="landscape"/>
      <w:pgMar w:top="460" w:right="9308" w:bottom="208" w:left="7395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81"/>
    <w:rsid w:val="000D25C0"/>
    <w:rsid w:val="0021747F"/>
    <w:rsid w:val="00821B81"/>
    <w:rsid w:val="00C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6C1E"/>
  <w15:docId w15:val="{D2F8F286-D4CF-4903-84B0-384AC84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CF33D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33D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33D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33D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33D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3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33D6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CF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Džiuljeta Malinauskaitė</dc:creator>
  <cp:lastModifiedBy>Džiuljeta Malinauskaitė</cp:lastModifiedBy>
  <cp:revision>2</cp:revision>
  <dcterms:created xsi:type="dcterms:W3CDTF">2021-07-21T05:45:00Z</dcterms:created>
  <dcterms:modified xsi:type="dcterms:W3CDTF">2021-07-21T05:45:00Z</dcterms:modified>
</cp:coreProperties>
</file>